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仿宋"/>
          <w:b/>
          <w:sz w:val="36"/>
        </w:rPr>
      </w:pPr>
      <w:r>
        <w:rPr>
          <w:rFonts w:ascii="Times New Roman" w:hAnsi="Times New Roman" w:eastAsia="仿宋"/>
          <w:b/>
          <w:sz w:val="36"/>
        </w:rPr>
        <w:t>南京大学</w:t>
      </w:r>
      <w:r>
        <w:rPr>
          <w:rFonts w:hint="eastAsia" w:ascii="Times New Roman" w:hAnsi="Times New Roman" w:eastAsia="仿宋"/>
          <w:b/>
          <w:sz w:val="36"/>
        </w:rPr>
        <w:t>鼓楼</w:t>
      </w:r>
      <w:r>
        <w:rPr>
          <w:rFonts w:ascii="Times New Roman" w:hAnsi="Times New Roman" w:eastAsia="仿宋"/>
          <w:b/>
          <w:sz w:val="36"/>
        </w:rPr>
        <w:t>校区</w:t>
      </w:r>
      <w:r>
        <w:rPr>
          <w:rFonts w:hint="eastAsia" w:ascii="Times New Roman" w:hAnsi="Times New Roman" w:eastAsia="仿宋"/>
          <w:b/>
          <w:sz w:val="36"/>
        </w:rPr>
        <w:t>西南楼模拟法庭（研讨室）交互屏采购及相关服务招标</w:t>
      </w:r>
      <w:r>
        <w:rPr>
          <w:rFonts w:hint="eastAsia" w:ascii="Times New Roman" w:hAnsi="Times New Roman" w:eastAsia="仿宋"/>
          <w:b/>
          <w:sz w:val="36"/>
          <w:lang w:val="en-US" w:eastAsia="zh-CN"/>
        </w:rPr>
        <w:t>采购</w:t>
      </w:r>
      <w:r>
        <w:rPr>
          <w:rFonts w:hint="eastAsia" w:ascii="Times New Roman" w:hAnsi="Times New Roman" w:eastAsia="仿宋"/>
          <w:b/>
          <w:sz w:val="36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仿宋"/>
          <w:sz w:val="36"/>
        </w:rPr>
      </w:pP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  <w:lang w:val="en-US" w:eastAsia="zh-CN"/>
        </w:rPr>
        <w:t>一、产品清单</w:t>
      </w:r>
    </w:p>
    <w:tbl>
      <w:tblPr>
        <w:tblStyle w:val="11"/>
        <w:tblW w:w="494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566"/>
        <w:gridCol w:w="616"/>
        <w:gridCol w:w="61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29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安装场所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108寸交互屏（核心产品）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模拟法庭（1F，1间）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86寸交互屏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20人研讨室（1F一间、2F二间，共3间）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98寸交互屏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124人研讨室（1F，共2间）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50人研讨室（1F一间、3F一间，共2间）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50人无纸化研讨室（2F，1间）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二、</w:t>
      </w:r>
      <w:r>
        <w:rPr>
          <w:rFonts w:ascii="Times New Roman" w:hAnsi="Times New Roman" w:eastAsia="仿宋"/>
          <w:b/>
          <w:sz w:val="24"/>
          <w:szCs w:val="24"/>
        </w:rPr>
        <w:t>产品需满足的质量、安全、技术规格、物理特性要求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（一）</w:t>
      </w:r>
      <w:r>
        <w:rPr>
          <w:rFonts w:hint="eastAsia" w:ascii="Times New Roman" w:hAnsi="Times New Roman" w:eastAsia="仿宋"/>
          <w:sz w:val="24"/>
          <w:szCs w:val="24"/>
        </w:rPr>
        <w:t>★</w:t>
      </w:r>
      <w:r>
        <w:rPr>
          <w:rFonts w:hint="eastAsia" w:ascii="Times New Roman" w:hAnsi="Times New Roman" w:eastAsia="仿宋"/>
          <w:b/>
          <w:sz w:val="24"/>
          <w:szCs w:val="24"/>
        </w:rPr>
        <w:t>产品要求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1、投标产品系列必须通过CCC认证。（提供CCC认证证书扫描件）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2、中标供应商需承诺在交付时配合集成商完善设备的接入和开通工作，保证无缝融入西南楼提供下述但不局限于设备硬件接口、控制协议、操作软件、应用辅材等设备使用配套，并不追加任何其它费用</w:t>
      </w:r>
      <w:r>
        <w:rPr>
          <w:rFonts w:ascii="Times New Roman" w:hAnsi="Times New Roman" w:eastAsia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（二）</w:t>
      </w:r>
      <w:r>
        <w:rPr>
          <w:rFonts w:ascii="Times New Roman" w:hAnsi="Times New Roman" w:eastAsia="仿宋"/>
          <w:b/>
          <w:sz w:val="24"/>
          <w:szCs w:val="24"/>
        </w:rPr>
        <w:t>技术要求</w:t>
      </w:r>
    </w:p>
    <w:tbl>
      <w:tblPr>
        <w:tblStyle w:val="1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366"/>
        <w:gridCol w:w="7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4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规格指标要求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108寸交互屏</w:t>
            </w:r>
          </w:p>
        </w:tc>
        <w:tc>
          <w:tcPr>
            <w:tcW w:w="4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1.显示屏尺寸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108英寸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▲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采用全倒装COB工艺技术，像素间距不大于1.25mm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.支持不小于10点红外触摸功能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屏幕正面防护等级达到 IP65 规格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，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具备防水、防尘、防撞、防静电、防潮等特性，灯珠失效率＜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ppm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支持智能AI语音控制功能，通过语音喊话能实现语音搜索，语音控制，语音短句转文字输入等功能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.具备无线分享嵌入式软件功能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16路无线投屏信号窗口同屏显示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，支持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Airplay/Miracast原生协议投屏、支持Win8.1以上无线投影功能并支持反控PC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（提供无线分享界面截图）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.具备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通过触控屏幕底部实现全屏等比例缩放功能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，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屏幕的等比例缩放可设置左、中、右不同位置，同时缩放比例支持70%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和80%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可调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，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该功能同时支持Android系统和Windows系统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.支持≥2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0个视窗同屏显示，支持窗口的显示/隐藏/全屏操作，支持基于内容的播放控制和触控操作，支持多种画面呈现形式，包括多画面+全屏、双屏多画面、多画面+白板等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（提供多视窗界面截图）。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86寸交互屏</w:t>
            </w:r>
          </w:p>
        </w:tc>
        <w:tc>
          <w:tcPr>
            <w:tcW w:w="4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1. 显示尺寸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86英寸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▲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采用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A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级屏体，符合GB21520-2015能源1级要求，分辨率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3840*2160，屏体亮度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400cd/m2 ,屏体对比度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4500：1，在双系统下均支持20点同时触控及书写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提供可查询的产品制造商官网截图（附官网链接）或由CMA认证检测机构出具的检测报告。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 xml:space="preserve">. 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4指抓取屏幕任意位置可调出多任务处理窗口，通过多指滑动屏幕，实现教学系统和Windows界面的快速切换，可添加互动软件等不少于25个应用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 xml:space="preserve">. 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1260W有效像素的视频采集一体化2D降噪4K超高清摄像头，前置接口面板和前置按键面板支持单独前拆，无需打开设备背板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提供可查询的产品制造商官网截图（附官网链接）或由CMA认证检测机构出具的检测报告。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 具有笔槽结构，可放置书写笔，整机可一键进行硬件自检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 Android系统版本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10.0，CPU核心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4核，RAM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2G，ROM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8G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提供可查询的产品制造商官网截图（附官网链接）或由CMA认证检测机构出具的检测报告。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.物理减滤蓝光设计，可识别到外接设备的输入信号后自动开机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textAlignment w:val="auto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.屏幕表面采用厚度≤3.2mm（±0.2mm）的防眩钢化玻璃，色彩覆盖率：NTSC标准下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94%，sRGB标准色域格式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125%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提供可查询的产品制造商官网截图（附官网链接）或由CMA认证检测机构出具的检测报告。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98寸交互屏</w:t>
            </w:r>
          </w:p>
        </w:tc>
        <w:tc>
          <w:tcPr>
            <w:tcW w:w="4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1.显示尺寸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98英寸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▲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采用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A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级屏体，功率≤550W，符合GB21520-2015能源1级要求，分辨率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3840*2160，屏体亮度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400cd/m2 ,屏体对比度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 xml:space="preserve">4500：1 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.滑动屏幕可实现教学系统界面与Windows的快速切换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" w:cs="宋体"/>
                <w:kern w:val="0"/>
                <w:sz w:val="20"/>
                <w:szCs w:val="20"/>
              </w:rPr>
              <w:t>交互屏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表面玻璃采用硬度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莫氏7级的钢化玻璃，硬度高于石墨1-9H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.在双系统下均支持20点同时触控及书写，整机标配VGA输入接口≥1路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提供可查询的产品制造商官网截图（附官网链接）或由CMA认证检测机构出具的检测报告。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.设备前置按键不少于8个，每个按键不少于两种以上功能，可实现音量加减、窗口关闭、触控开关等功能，为避免误触采用针孔式设计前置中文标识电脑还原键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提供可查询的产品制造商官网截图（附官网链接）或由CMA认证检测机构出具的检测报告。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.具备2个前置12W中高音单元，后置1个15W低音单元谐振频率低于320Hz，2.1声道音箱，采用针孔阵列发声设计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提供可查询的产品制造商官网截图（附官网链接）或由CMA认证检测机构出具的检测报告。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.采用物理减滤蓝光设计，无需其他操作即可实现防蓝光，且设备具备智能护眼组合功能，通过扫描设备自带的二维码可获取检测机构的认证证书。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.Android系统版本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10.0，CPU核心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4核，RAM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2G，ROM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 xml:space="preserve">8G，并支持扩展64G存储空间 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提供可查询的产品制造商官网截图（附官网链接）或由CMA认证检测机构出具的检测报告。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.内置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1260W有效像素的视频采集2D 降噪4K超高清一体化摄像头，对角水平视场角在120°时，画面畸变不大于4%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提供可查询的产品制造商官网截图（附官网链接）或由CMA认证检测机构出具的检测报告。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.内嵌企业级路由器专业数通处理器 Mips 1GHz，可支持有线和无线的双模接入，可供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val="en-US" w:eastAsia="zh-CN"/>
              </w:rPr>
              <w:t>≥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</w:rPr>
              <w:t>50个用户同时连接使用；在关机状态下，仍可以提供无线网络</w:t>
            </w:r>
            <w:r>
              <w:rPr>
                <w:rFonts w:hint="eastAsia" w:ascii="Times New Roman" w:hAnsi="Times New Roman" w:eastAsia="仿宋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（三）★包装及运输要求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1、</w:t>
      </w:r>
      <w:r>
        <w:rPr>
          <w:rFonts w:hint="eastAsia" w:ascii="Times New Roman" w:hAnsi="Times New Roman" w:eastAsia="仿宋"/>
          <w:sz w:val="24"/>
          <w:szCs w:val="24"/>
        </w:rPr>
        <w:t>所有产品具备原厂出场包装</w:t>
      </w:r>
      <w:r>
        <w:rPr>
          <w:rFonts w:ascii="Times New Roman" w:hAnsi="Times New Roman" w:eastAsia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</w:t>
      </w:r>
      <w:r>
        <w:rPr>
          <w:rFonts w:ascii="Times New Roman" w:hAnsi="Times New Roman" w:eastAsia="仿宋"/>
          <w:sz w:val="24"/>
          <w:szCs w:val="24"/>
        </w:rPr>
        <w:t>、包装应符合相关的包装标准，投标人应选用适当的运输工具，货送到现场前的所有破损、受雨、受潮责任由卖方承担，货到工地须交接清楚。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3、所有产品开箱需甲方、监理方和中标供应商共同到场，并签署开箱验货确认单。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三、产品需符合国家相关标准规范。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eastAsia="仿宋"/>
          <w:b/>
          <w:sz w:val="24"/>
          <w:szCs w:val="24"/>
        </w:rPr>
        <w:t>、商务要求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★</w:t>
      </w:r>
      <w:r>
        <w:rPr>
          <w:rFonts w:hint="eastAsia" w:ascii="Times New Roman" w:hAnsi="Times New Roman" w:eastAsia="仿宋"/>
          <w:sz w:val="24"/>
          <w:szCs w:val="24"/>
        </w:rPr>
        <w:t>1、质保期：全部货物验收合格后</w:t>
      </w:r>
      <w:r>
        <w:rPr>
          <w:rFonts w:ascii="Times New Roman" w:hAnsi="Times New Roman" w:eastAsia="仿宋"/>
          <w:sz w:val="24"/>
          <w:szCs w:val="24"/>
        </w:rPr>
        <w:t>2年。此标准为最低标准，各投标人也可根据自身情况报最长质量保证期</w:t>
      </w:r>
      <w:r>
        <w:rPr>
          <w:rFonts w:hint="eastAsia" w:ascii="Times New Roman" w:hAnsi="Times New Roman" w:eastAsia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★</w:t>
      </w:r>
      <w:r>
        <w:rPr>
          <w:rFonts w:hint="eastAsia" w:ascii="Times New Roman" w:hAnsi="Times New Roman" w:eastAsia="仿宋"/>
          <w:sz w:val="24"/>
          <w:szCs w:val="24"/>
        </w:rPr>
        <w:t>2、交货时间：合同签订</w:t>
      </w:r>
      <w:r>
        <w:rPr>
          <w:rFonts w:ascii="Times New Roman" w:hAnsi="Times New Roman" w:eastAsia="仿宋"/>
          <w:sz w:val="24"/>
          <w:szCs w:val="24"/>
        </w:rPr>
        <w:t>,接到招标方供货通知后</w:t>
      </w:r>
      <w:r>
        <w:rPr>
          <w:rFonts w:hint="eastAsia" w:ascii="Times New Roman" w:hAnsi="Times New Roman" w:eastAsia="仿宋"/>
          <w:sz w:val="24"/>
          <w:szCs w:val="24"/>
        </w:rPr>
        <w:t>60</w:t>
      </w:r>
      <w:r>
        <w:rPr>
          <w:rFonts w:ascii="Times New Roman" w:hAnsi="Times New Roman" w:eastAsia="仿宋"/>
          <w:sz w:val="24"/>
          <w:szCs w:val="24"/>
        </w:rPr>
        <w:t>日历天内供货到招标方指定地点。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★</w:t>
      </w:r>
      <w:r>
        <w:rPr>
          <w:rFonts w:hint="eastAsia" w:ascii="Times New Roman" w:hAnsi="Times New Roman" w:eastAsia="仿宋"/>
          <w:sz w:val="24"/>
          <w:szCs w:val="24"/>
        </w:rPr>
        <w:t>3、交货地点：南京大学鼓楼校区西南楼工程施工现场内车辆能到达的指定地点。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4</w:t>
      </w:r>
      <w:r>
        <w:rPr>
          <w:rFonts w:hint="eastAsia" w:ascii="Times New Roman" w:hAnsi="Times New Roman" w:eastAsia="仿宋"/>
          <w:sz w:val="24"/>
          <w:szCs w:val="24"/>
        </w:rPr>
        <w:t>、售后服务响应要求：在质量保证期内，投标人须须保证在</w:t>
      </w:r>
      <w:r>
        <w:rPr>
          <w:rFonts w:ascii="Times New Roman" w:hAnsi="Times New Roman" w:eastAsia="仿宋"/>
          <w:sz w:val="24"/>
          <w:szCs w:val="24"/>
        </w:rPr>
        <w:t>2小时内响应，4小时内到达现场，24小时内解决问题。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★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"/>
          <w:sz w:val="24"/>
          <w:szCs w:val="24"/>
        </w:rPr>
        <w:t>、付款方式：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" w:cs="宋体"/>
          <w:kern w:val="0"/>
          <w:sz w:val="24"/>
          <w:szCs w:val="24"/>
          <w:lang w:eastAsia="zh-CN"/>
        </w:rPr>
      </w:pPr>
      <w:r>
        <w:rPr>
          <w:rFonts w:ascii="Times New Roman" w:hAnsi="Times New Roman" w:eastAsia="仿宋" w:cs="宋体"/>
          <w:kern w:val="0"/>
          <w:sz w:val="24"/>
          <w:szCs w:val="24"/>
        </w:rPr>
        <w:t>1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）签订合同后，支付合同总额</w:t>
      </w:r>
      <w:r>
        <w:rPr>
          <w:rFonts w:ascii="Times New Roman" w:hAnsi="Times New Roman" w:eastAsia="仿宋" w:cs="宋体"/>
          <w:kern w:val="0"/>
          <w:sz w:val="24"/>
          <w:szCs w:val="24"/>
        </w:rPr>
        <w:t>30%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作为预付款</w:t>
      </w:r>
      <w:r>
        <w:rPr>
          <w:rFonts w:hint="eastAsia" w:ascii="Times New Roman" w:hAnsi="Times New Roman" w:eastAsia="仿宋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2）全部设备安装结束投运后无质量问题，卖方按学校规定办理相关请款手续后，买方付至实际总货款的</w:t>
      </w:r>
      <w:r>
        <w:rPr>
          <w:rFonts w:ascii="Times New Roman" w:hAnsi="Times New Roman" w:eastAsia="仿宋" w:cs="宋体"/>
          <w:kern w:val="0"/>
          <w:sz w:val="24"/>
          <w:szCs w:val="24"/>
        </w:rPr>
        <w:t>9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5</w:t>
      </w:r>
      <w:r>
        <w:rPr>
          <w:rFonts w:ascii="Times New Roman" w:hAnsi="Times New Roman" w:eastAsia="仿宋" w:cs="宋体"/>
          <w:kern w:val="0"/>
          <w:sz w:val="24"/>
          <w:szCs w:val="24"/>
        </w:rPr>
        <w:t>%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3）自验收合格之日起满两年，卖方按学校规定办理相关请款手续后，买方付至实际总货款的</w:t>
      </w:r>
      <w:r>
        <w:rPr>
          <w:rFonts w:ascii="Times New Roman" w:hAnsi="Times New Roman" w:eastAsia="仿宋" w:cs="宋体"/>
          <w:kern w:val="0"/>
          <w:sz w:val="24"/>
          <w:szCs w:val="24"/>
        </w:rPr>
        <w:t>100%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。货款的全额支付，不免除质保期内卖方应负的质保责任。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eastAsia="仿宋"/>
          <w:b/>
          <w:sz w:val="24"/>
          <w:szCs w:val="24"/>
        </w:rPr>
        <w:t>、</w:t>
      </w:r>
      <w:r>
        <w:rPr>
          <w:rFonts w:ascii="Times New Roman" w:hAnsi="Times New Roman" w:eastAsia="仿宋"/>
          <w:b/>
          <w:sz w:val="24"/>
          <w:szCs w:val="24"/>
        </w:rPr>
        <w:t>产品验收标准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1、产品对应的国家和行业标准；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2、招标文件的要求和投标文件的承诺。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3、验收试验最低限度包括下列项目：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（1）外观目视检验。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（2）甲方在现场要求进行的符合标准规定的试验项目。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4C"/>
    <w:multiLevelType w:val="multilevel"/>
    <w:tmpl w:val="0000004C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004" w:hanging="720"/>
      </w:pPr>
      <w:rPr>
        <w:rFonts w:hint="default" w:ascii="Times New Roman" w:hAnsi="Times New Roman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pStyle w:val="4"/>
      <w:lvlText w:val="%1.%2.%3.%4"/>
      <w:lvlJc w:val="left"/>
      <w:pPr>
        <w:ind w:left="1715" w:hanging="864"/>
      </w:pPr>
      <w:rPr>
        <w:rFonts w:hint="default" w:ascii="Times New Roman" w:hAnsi="Times New Roman" w:eastAsia="宋体" w:cs="Times New Roman"/>
        <w:b w:val="0"/>
        <w:bCs w:val="0"/>
        <w:sz w:val="21"/>
        <w:szCs w:val="21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NzNkNzBiMDU0MzMxMzRjNzM1ZTc2ZTBjODc4MjUifQ=="/>
  </w:docVars>
  <w:rsids>
    <w:rsidRoot w:val="00051DBB"/>
    <w:rsid w:val="00004130"/>
    <w:rsid w:val="000078F6"/>
    <w:rsid w:val="00013FC0"/>
    <w:rsid w:val="00020393"/>
    <w:rsid w:val="00025A94"/>
    <w:rsid w:val="00051DBB"/>
    <w:rsid w:val="00052F2C"/>
    <w:rsid w:val="000548F4"/>
    <w:rsid w:val="00057433"/>
    <w:rsid w:val="0006233A"/>
    <w:rsid w:val="00062483"/>
    <w:rsid w:val="000711DF"/>
    <w:rsid w:val="00074EFF"/>
    <w:rsid w:val="000774D4"/>
    <w:rsid w:val="00083E9E"/>
    <w:rsid w:val="000919E9"/>
    <w:rsid w:val="000C3E10"/>
    <w:rsid w:val="000D5355"/>
    <w:rsid w:val="000E4042"/>
    <w:rsid w:val="000E790F"/>
    <w:rsid w:val="000F16EF"/>
    <w:rsid w:val="000F567D"/>
    <w:rsid w:val="00104882"/>
    <w:rsid w:val="00134B11"/>
    <w:rsid w:val="001458BC"/>
    <w:rsid w:val="00150E9D"/>
    <w:rsid w:val="00167D6E"/>
    <w:rsid w:val="001704EE"/>
    <w:rsid w:val="00170F26"/>
    <w:rsid w:val="001726EC"/>
    <w:rsid w:val="00194BA2"/>
    <w:rsid w:val="001A1E7F"/>
    <w:rsid w:val="001A745F"/>
    <w:rsid w:val="001B072B"/>
    <w:rsid w:val="001B66F4"/>
    <w:rsid w:val="001D1FB8"/>
    <w:rsid w:val="001D30FB"/>
    <w:rsid w:val="001D4ED4"/>
    <w:rsid w:val="001E7AF9"/>
    <w:rsid w:val="001E7FEE"/>
    <w:rsid w:val="001F2FD5"/>
    <w:rsid w:val="001F725C"/>
    <w:rsid w:val="00203B6E"/>
    <w:rsid w:val="0020543A"/>
    <w:rsid w:val="00211920"/>
    <w:rsid w:val="00212D18"/>
    <w:rsid w:val="00222DD3"/>
    <w:rsid w:val="00223B46"/>
    <w:rsid w:val="00225CDC"/>
    <w:rsid w:val="00231610"/>
    <w:rsid w:val="0023225D"/>
    <w:rsid w:val="00233BEA"/>
    <w:rsid w:val="002444F8"/>
    <w:rsid w:val="00273602"/>
    <w:rsid w:val="002758FE"/>
    <w:rsid w:val="0027759C"/>
    <w:rsid w:val="002A0880"/>
    <w:rsid w:val="002A7E2F"/>
    <w:rsid w:val="002B2F5D"/>
    <w:rsid w:val="002B6E09"/>
    <w:rsid w:val="002C4AB3"/>
    <w:rsid w:val="002D4DBB"/>
    <w:rsid w:val="002E2E6D"/>
    <w:rsid w:val="002E47C4"/>
    <w:rsid w:val="002E73F9"/>
    <w:rsid w:val="003025EB"/>
    <w:rsid w:val="00310D48"/>
    <w:rsid w:val="00322FB9"/>
    <w:rsid w:val="00327E7C"/>
    <w:rsid w:val="00343A15"/>
    <w:rsid w:val="00344470"/>
    <w:rsid w:val="0035762B"/>
    <w:rsid w:val="003645FE"/>
    <w:rsid w:val="003717A6"/>
    <w:rsid w:val="00372DBE"/>
    <w:rsid w:val="00380854"/>
    <w:rsid w:val="00385CAC"/>
    <w:rsid w:val="0039246C"/>
    <w:rsid w:val="00394643"/>
    <w:rsid w:val="003A3BC2"/>
    <w:rsid w:val="003A5A64"/>
    <w:rsid w:val="003A7F13"/>
    <w:rsid w:val="003C01B8"/>
    <w:rsid w:val="003C3394"/>
    <w:rsid w:val="003C5277"/>
    <w:rsid w:val="003D6745"/>
    <w:rsid w:val="003E1B71"/>
    <w:rsid w:val="003E3A50"/>
    <w:rsid w:val="003E4DFD"/>
    <w:rsid w:val="003F19D7"/>
    <w:rsid w:val="00400E4A"/>
    <w:rsid w:val="00401AE4"/>
    <w:rsid w:val="0040732B"/>
    <w:rsid w:val="00422BB8"/>
    <w:rsid w:val="00431428"/>
    <w:rsid w:val="004332E9"/>
    <w:rsid w:val="00434590"/>
    <w:rsid w:val="0044213A"/>
    <w:rsid w:val="00445816"/>
    <w:rsid w:val="00447CA7"/>
    <w:rsid w:val="004504CC"/>
    <w:rsid w:val="004666AA"/>
    <w:rsid w:val="00466A78"/>
    <w:rsid w:val="00477293"/>
    <w:rsid w:val="00477D07"/>
    <w:rsid w:val="004831AF"/>
    <w:rsid w:val="004943B4"/>
    <w:rsid w:val="00494DFD"/>
    <w:rsid w:val="0049750F"/>
    <w:rsid w:val="004A52B0"/>
    <w:rsid w:val="004B0003"/>
    <w:rsid w:val="004B1113"/>
    <w:rsid w:val="004B1ECC"/>
    <w:rsid w:val="004B2DBC"/>
    <w:rsid w:val="004B6BED"/>
    <w:rsid w:val="004C61E1"/>
    <w:rsid w:val="004D025C"/>
    <w:rsid w:val="004E1B87"/>
    <w:rsid w:val="004F091F"/>
    <w:rsid w:val="004F1C24"/>
    <w:rsid w:val="004F761C"/>
    <w:rsid w:val="00503604"/>
    <w:rsid w:val="0051174B"/>
    <w:rsid w:val="005216F1"/>
    <w:rsid w:val="00521851"/>
    <w:rsid w:val="00526D38"/>
    <w:rsid w:val="0052727D"/>
    <w:rsid w:val="00535D77"/>
    <w:rsid w:val="00540CBC"/>
    <w:rsid w:val="00551047"/>
    <w:rsid w:val="0056752D"/>
    <w:rsid w:val="00567CA0"/>
    <w:rsid w:val="005A246B"/>
    <w:rsid w:val="005A2C21"/>
    <w:rsid w:val="005B6C90"/>
    <w:rsid w:val="005C2BA8"/>
    <w:rsid w:val="005C4A89"/>
    <w:rsid w:val="005D7E78"/>
    <w:rsid w:val="005E63DF"/>
    <w:rsid w:val="0060634F"/>
    <w:rsid w:val="00612886"/>
    <w:rsid w:val="006143CD"/>
    <w:rsid w:val="00625467"/>
    <w:rsid w:val="00627D9C"/>
    <w:rsid w:val="006352C1"/>
    <w:rsid w:val="006418A8"/>
    <w:rsid w:val="00650936"/>
    <w:rsid w:val="00653B1D"/>
    <w:rsid w:val="00655DA5"/>
    <w:rsid w:val="00660D08"/>
    <w:rsid w:val="0068124E"/>
    <w:rsid w:val="00685496"/>
    <w:rsid w:val="00691819"/>
    <w:rsid w:val="00691A11"/>
    <w:rsid w:val="00692B95"/>
    <w:rsid w:val="00696D93"/>
    <w:rsid w:val="006A1CF9"/>
    <w:rsid w:val="006B2809"/>
    <w:rsid w:val="006B3DAD"/>
    <w:rsid w:val="006B47F2"/>
    <w:rsid w:val="006B6C9C"/>
    <w:rsid w:val="006C30B5"/>
    <w:rsid w:val="006D4C2F"/>
    <w:rsid w:val="006E1E77"/>
    <w:rsid w:val="00742970"/>
    <w:rsid w:val="00767191"/>
    <w:rsid w:val="007707B8"/>
    <w:rsid w:val="00774564"/>
    <w:rsid w:val="00781E2F"/>
    <w:rsid w:val="00786091"/>
    <w:rsid w:val="007938C4"/>
    <w:rsid w:val="007B1995"/>
    <w:rsid w:val="007B4879"/>
    <w:rsid w:val="007E17BD"/>
    <w:rsid w:val="007F06F3"/>
    <w:rsid w:val="007F1E9D"/>
    <w:rsid w:val="00804999"/>
    <w:rsid w:val="00822540"/>
    <w:rsid w:val="008226A7"/>
    <w:rsid w:val="00830988"/>
    <w:rsid w:val="00835D8C"/>
    <w:rsid w:val="00836DBC"/>
    <w:rsid w:val="008376DD"/>
    <w:rsid w:val="008442D7"/>
    <w:rsid w:val="00856115"/>
    <w:rsid w:val="00862333"/>
    <w:rsid w:val="0086561D"/>
    <w:rsid w:val="008728DA"/>
    <w:rsid w:val="00876B6E"/>
    <w:rsid w:val="00877ECA"/>
    <w:rsid w:val="008B66C3"/>
    <w:rsid w:val="008B6ED6"/>
    <w:rsid w:val="008C1D5A"/>
    <w:rsid w:val="008C22C1"/>
    <w:rsid w:val="008D315E"/>
    <w:rsid w:val="00915FAB"/>
    <w:rsid w:val="00932E53"/>
    <w:rsid w:val="0093362A"/>
    <w:rsid w:val="009429A0"/>
    <w:rsid w:val="0094423E"/>
    <w:rsid w:val="009520AA"/>
    <w:rsid w:val="009529A4"/>
    <w:rsid w:val="00961587"/>
    <w:rsid w:val="009656DC"/>
    <w:rsid w:val="00972917"/>
    <w:rsid w:val="00986CA2"/>
    <w:rsid w:val="00992A3F"/>
    <w:rsid w:val="00994B1E"/>
    <w:rsid w:val="00996D1B"/>
    <w:rsid w:val="009F1170"/>
    <w:rsid w:val="00A06E1F"/>
    <w:rsid w:val="00A21D57"/>
    <w:rsid w:val="00A233A9"/>
    <w:rsid w:val="00A23592"/>
    <w:rsid w:val="00A23986"/>
    <w:rsid w:val="00A317DA"/>
    <w:rsid w:val="00A31A9F"/>
    <w:rsid w:val="00A358E2"/>
    <w:rsid w:val="00A467BF"/>
    <w:rsid w:val="00A54717"/>
    <w:rsid w:val="00A62EEF"/>
    <w:rsid w:val="00A64293"/>
    <w:rsid w:val="00A655AF"/>
    <w:rsid w:val="00A81C0A"/>
    <w:rsid w:val="00A9317C"/>
    <w:rsid w:val="00AA1B9C"/>
    <w:rsid w:val="00AA207B"/>
    <w:rsid w:val="00AA5602"/>
    <w:rsid w:val="00AC214B"/>
    <w:rsid w:val="00AD614A"/>
    <w:rsid w:val="00AD799D"/>
    <w:rsid w:val="00AE1C81"/>
    <w:rsid w:val="00AE5C8B"/>
    <w:rsid w:val="00B2441A"/>
    <w:rsid w:val="00B27B09"/>
    <w:rsid w:val="00B32A05"/>
    <w:rsid w:val="00B340F4"/>
    <w:rsid w:val="00B3536C"/>
    <w:rsid w:val="00B437C5"/>
    <w:rsid w:val="00B527B7"/>
    <w:rsid w:val="00B55B37"/>
    <w:rsid w:val="00B57E4F"/>
    <w:rsid w:val="00B6236C"/>
    <w:rsid w:val="00B702DD"/>
    <w:rsid w:val="00B87860"/>
    <w:rsid w:val="00B972A3"/>
    <w:rsid w:val="00BB2EB5"/>
    <w:rsid w:val="00BD0F97"/>
    <w:rsid w:val="00BD3A4B"/>
    <w:rsid w:val="00BD466D"/>
    <w:rsid w:val="00BD7248"/>
    <w:rsid w:val="00BF7088"/>
    <w:rsid w:val="00C05C1D"/>
    <w:rsid w:val="00C060BC"/>
    <w:rsid w:val="00C13431"/>
    <w:rsid w:val="00C25AA4"/>
    <w:rsid w:val="00C2724E"/>
    <w:rsid w:val="00C32188"/>
    <w:rsid w:val="00C447A4"/>
    <w:rsid w:val="00C44E2A"/>
    <w:rsid w:val="00C44F7F"/>
    <w:rsid w:val="00C501DF"/>
    <w:rsid w:val="00C56813"/>
    <w:rsid w:val="00C64CBB"/>
    <w:rsid w:val="00C74C4A"/>
    <w:rsid w:val="00C76158"/>
    <w:rsid w:val="00C85BE7"/>
    <w:rsid w:val="00C924C5"/>
    <w:rsid w:val="00CA0E34"/>
    <w:rsid w:val="00CA3A32"/>
    <w:rsid w:val="00CC1524"/>
    <w:rsid w:val="00CC4C27"/>
    <w:rsid w:val="00CC7424"/>
    <w:rsid w:val="00CD53E8"/>
    <w:rsid w:val="00CD6432"/>
    <w:rsid w:val="00CE0BAB"/>
    <w:rsid w:val="00CE6B41"/>
    <w:rsid w:val="00D016C1"/>
    <w:rsid w:val="00D01D40"/>
    <w:rsid w:val="00D0206A"/>
    <w:rsid w:val="00D04C40"/>
    <w:rsid w:val="00D16B73"/>
    <w:rsid w:val="00D2017D"/>
    <w:rsid w:val="00D23EB3"/>
    <w:rsid w:val="00D317BB"/>
    <w:rsid w:val="00D44957"/>
    <w:rsid w:val="00D4630B"/>
    <w:rsid w:val="00D4637B"/>
    <w:rsid w:val="00D56CCB"/>
    <w:rsid w:val="00D56F59"/>
    <w:rsid w:val="00D62201"/>
    <w:rsid w:val="00D62D42"/>
    <w:rsid w:val="00D65F98"/>
    <w:rsid w:val="00D733F8"/>
    <w:rsid w:val="00D752E7"/>
    <w:rsid w:val="00D82BC1"/>
    <w:rsid w:val="00D90512"/>
    <w:rsid w:val="00D93DF7"/>
    <w:rsid w:val="00D9684A"/>
    <w:rsid w:val="00DA036F"/>
    <w:rsid w:val="00DA2552"/>
    <w:rsid w:val="00DA6F2E"/>
    <w:rsid w:val="00DB7AA5"/>
    <w:rsid w:val="00DC3B1D"/>
    <w:rsid w:val="00DD23C1"/>
    <w:rsid w:val="00DD7CDD"/>
    <w:rsid w:val="00E0756F"/>
    <w:rsid w:val="00E2158D"/>
    <w:rsid w:val="00E36954"/>
    <w:rsid w:val="00E509CE"/>
    <w:rsid w:val="00E60954"/>
    <w:rsid w:val="00E828BA"/>
    <w:rsid w:val="00E832AE"/>
    <w:rsid w:val="00E94CC7"/>
    <w:rsid w:val="00EA6277"/>
    <w:rsid w:val="00EB1256"/>
    <w:rsid w:val="00EC1B74"/>
    <w:rsid w:val="00EC3D47"/>
    <w:rsid w:val="00EC6151"/>
    <w:rsid w:val="00ED672D"/>
    <w:rsid w:val="00ED77B6"/>
    <w:rsid w:val="00EE546C"/>
    <w:rsid w:val="00EE73A1"/>
    <w:rsid w:val="00F0685B"/>
    <w:rsid w:val="00F07334"/>
    <w:rsid w:val="00F1174F"/>
    <w:rsid w:val="00F13F3D"/>
    <w:rsid w:val="00F25E04"/>
    <w:rsid w:val="00F43074"/>
    <w:rsid w:val="00F501D6"/>
    <w:rsid w:val="00F534F3"/>
    <w:rsid w:val="00F54491"/>
    <w:rsid w:val="00F72C83"/>
    <w:rsid w:val="00F828EE"/>
    <w:rsid w:val="00F848A4"/>
    <w:rsid w:val="00F85D72"/>
    <w:rsid w:val="00F94EEB"/>
    <w:rsid w:val="00F96A58"/>
    <w:rsid w:val="00F96F99"/>
    <w:rsid w:val="00F97082"/>
    <w:rsid w:val="00FA2949"/>
    <w:rsid w:val="00FB38CF"/>
    <w:rsid w:val="00FC56A8"/>
    <w:rsid w:val="00FC6D4E"/>
    <w:rsid w:val="00FD27AE"/>
    <w:rsid w:val="00FD7995"/>
    <w:rsid w:val="00FE6695"/>
    <w:rsid w:val="00FF0B0E"/>
    <w:rsid w:val="00FF277A"/>
    <w:rsid w:val="00FF4119"/>
    <w:rsid w:val="014011E1"/>
    <w:rsid w:val="05472A7A"/>
    <w:rsid w:val="07512BBE"/>
    <w:rsid w:val="2170371A"/>
    <w:rsid w:val="2DE441C9"/>
    <w:rsid w:val="2E9C2538"/>
    <w:rsid w:val="2EAE20DD"/>
    <w:rsid w:val="377346DB"/>
    <w:rsid w:val="3A6F6DAA"/>
    <w:rsid w:val="3BD313C0"/>
    <w:rsid w:val="409B61D7"/>
    <w:rsid w:val="430727C4"/>
    <w:rsid w:val="4961681D"/>
    <w:rsid w:val="4A5E4573"/>
    <w:rsid w:val="5A17002B"/>
    <w:rsid w:val="5A677AD0"/>
    <w:rsid w:val="5EDC1A2C"/>
    <w:rsid w:val="5FE8339C"/>
    <w:rsid w:val="6024138A"/>
    <w:rsid w:val="67302CB4"/>
    <w:rsid w:val="6A0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link w:val="66"/>
    <w:qFormat/>
    <w:uiPriority w:val="0"/>
    <w:pPr>
      <w:numPr>
        <w:ilvl w:val="3"/>
        <w:numId w:val="1"/>
      </w:numPr>
      <w:spacing w:line="360" w:lineRule="auto"/>
      <w:ind w:firstLine="0"/>
      <w:outlineLvl w:val="3"/>
    </w:pPr>
    <w:rPr>
      <w:rFonts w:ascii="Arial" w:hAnsi="Arial" w:eastAsia="宋体" w:cs="Times New Roman"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1"/>
    <w:qFormat/>
    <w:uiPriority w:val="99"/>
    <w:pPr>
      <w:ind w:firstLine="420"/>
    </w:pPr>
  </w:style>
  <w:style w:type="paragraph" w:styleId="3">
    <w:name w:val="Body Text Indent"/>
    <w:basedOn w:val="1"/>
    <w:link w:val="20"/>
    <w:qFormat/>
    <w:uiPriority w:val="99"/>
    <w:pPr>
      <w:spacing w:after="120"/>
      <w:ind w:left="420"/>
    </w:pPr>
    <w:rPr>
      <w:rFonts w:ascii="Times New Roman" w:hAnsi="Times New Roman"/>
    </w:rPr>
  </w:style>
  <w:style w:type="paragraph" w:styleId="5">
    <w:name w:val="annotation text"/>
    <w:basedOn w:val="1"/>
    <w:link w:val="63"/>
    <w:semiHidden/>
    <w:unhideWhenUsed/>
    <w:uiPriority w:val="99"/>
    <w:pPr>
      <w:jc w:val="left"/>
    </w:pPr>
  </w:style>
  <w:style w:type="paragraph" w:styleId="6">
    <w:name w:val="Body Text Indent 2"/>
    <w:basedOn w:val="1"/>
    <w:link w:val="67"/>
    <w:semiHidden/>
    <w:unhideWhenUsed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7">
    <w:name w:val="Balloon Text"/>
    <w:basedOn w:val="1"/>
    <w:link w:val="65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64"/>
    <w:semiHidden/>
    <w:unhideWhenUsed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uiPriority w:val="99"/>
    <w:rPr>
      <w:color w:val="800080"/>
      <w:u w:val="single"/>
    </w:rPr>
  </w:style>
  <w:style w:type="character" w:styleId="15">
    <w:name w:val="Hyperlink"/>
    <w:basedOn w:val="13"/>
    <w:semiHidden/>
    <w:unhideWhenUsed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uiPriority w:val="99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字符"/>
    <w:basedOn w:val="13"/>
    <w:link w:val="8"/>
    <w:qFormat/>
    <w:uiPriority w:val="99"/>
    <w:rPr>
      <w:sz w:val="18"/>
      <w:szCs w:val="18"/>
    </w:rPr>
  </w:style>
  <w:style w:type="character" w:customStyle="1" w:styleId="20">
    <w:name w:val="正文文本缩进字符"/>
    <w:basedOn w:val="13"/>
    <w:link w:val="3"/>
    <w:uiPriority w:val="99"/>
    <w:rPr>
      <w:rFonts w:eastAsiaTheme="minorEastAsia" w:cstheme="minorBidi"/>
      <w:kern w:val="2"/>
      <w:sz w:val="21"/>
      <w:szCs w:val="22"/>
    </w:rPr>
  </w:style>
  <w:style w:type="character" w:customStyle="1" w:styleId="21">
    <w:name w:val="正文首行缩进 2字符"/>
    <w:basedOn w:val="20"/>
    <w:link w:val="2"/>
    <w:uiPriority w:val="99"/>
    <w:rPr>
      <w:rFonts w:eastAsiaTheme="minorEastAsia" w:cstheme="minorBidi"/>
      <w:kern w:val="2"/>
      <w:sz w:val="21"/>
      <w:szCs w:val="22"/>
    </w:rPr>
  </w:style>
  <w:style w:type="paragraph" w:customStyle="1" w:styleId="2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6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7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3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5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36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76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7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0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8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84"/>
    <w:basedOn w:val="1"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49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50">
    <w:name w:val="xl8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51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2">
    <w:name w:val="xl9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3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93"/>
    <w:basedOn w:val="1"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57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8"/>
    <w:basedOn w:val="1"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62">
    <w:name w:val="xl10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63">
    <w:name w:val="注释文本字符"/>
    <w:basedOn w:val="13"/>
    <w:link w:val="5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64">
    <w:name w:val="批注主题字符"/>
    <w:basedOn w:val="63"/>
    <w:link w:val="10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65">
    <w:name w:val="批注框文本字符"/>
    <w:basedOn w:val="13"/>
    <w:link w:val="7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6">
    <w:name w:val="标题 4字符"/>
    <w:basedOn w:val="13"/>
    <w:link w:val="4"/>
    <w:qFormat/>
    <w:uiPriority w:val="0"/>
    <w:rPr>
      <w:rFonts w:ascii="Arial" w:hAnsi="Arial"/>
      <w:bCs/>
      <w:kern w:val="2"/>
      <w:sz w:val="21"/>
      <w:szCs w:val="28"/>
    </w:rPr>
  </w:style>
  <w:style w:type="character" w:customStyle="1" w:styleId="67">
    <w:name w:val="正文文本缩进 2字符"/>
    <w:basedOn w:val="13"/>
    <w:link w:val="6"/>
    <w:semiHidden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AEA1-518A-AE43-B5C1-107F7ECB74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2423</Words>
  <Characters>2731</Characters>
  <Lines>25</Lines>
  <Paragraphs>7</Paragraphs>
  <TotalTime>0</TotalTime>
  <ScaleCrop>false</ScaleCrop>
  <LinksUpToDate>false</LinksUpToDate>
  <CharactersWithSpaces>2747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2022-11-15T08:53:00Z</dcterms:created>
  <dc:creator>赵祝萱</dc:creator>
  <cp:lastModifiedBy>赵祝萱</cp:lastModifiedBy>
  <dcterms:modified xsi:type="dcterms:W3CDTF">2022-11-27T02:51:16Z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65C0C22D53BB4E2F905BD3FCCE9441D9</vt:lpwstr>
  </property>
</Properties>
</file>